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07" w:rsidRDefault="00277EF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0000"/>
        </w:rPr>
        <w:t>Приложение № 1</w:t>
      </w:r>
    </w:p>
    <w:p w:rsidR="00970C07" w:rsidRDefault="00970C0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970C07" w:rsidRDefault="00277EF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</w:rPr>
        <w:t>к Договору №__________________________ от «____» __________20__ г.</w:t>
      </w:r>
    </w:p>
    <w:p w:rsidR="00970C07" w:rsidRDefault="00970C0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C07" w:rsidRDefault="00970C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0C07" w:rsidRDefault="00277E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ТЕХНИЧЕСКОЕ ЗАДАНИЕ</w:t>
      </w:r>
    </w:p>
    <w:p w:rsidR="00970C07" w:rsidRDefault="00277E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на разработку Специальных технических условий по обеспечению пожарной безопасности объекта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 xml:space="preserve">«г. Санкт-Петербург,» </w:t>
      </w:r>
    </w:p>
    <w:p w:rsidR="00970C07" w:rsidRDefault="00970C0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  <w:u w:val="single"/>
        </w:rPr>
      </w:pPr>
    </w:p>
    <w:tbl>
      <w:tblPr>
        <w:tblStyle w:val="a5"/>
        <w:tblW w:w="98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45"/>
        <w:gridCol w:w="5935"/>
      </w:tblGrid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45" w:type="dxa"/>
            <w:vAlign w:val="center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вопроса</w:t>
            </w:r>
          </w:p>
        </w:tc>
        <w:tc>
          <w:tcPr>
            <w:tcW w:w="5935" w:type="dxa"/>
            <w:vAlign w:val="center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вопроса</w:t>
            </w: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 капитального строительства</w:t>
            </w:r>
          </w:p>
        </w:tc>
        <w:tc>
          <w:tcPr>
            <w:tcW w:w="593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«г. Санкт-Петербург,»</w:t>
            </w: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Местоположение объекта капитального строительства</w:t>
            </w:r>
          </w:p>
        </w:tc>
        <w:tc>
          <w:tcPr>
            <w:tcW w:w="593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Санкт-Петербург, ул.</w:t>
            </w: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об уровне ответственности объектов капитального строительства</w:t>
            </w:r>
          </w:p>
        </w:tc>
        <w:tc>
          <w:tcPr>
            <w:tcW w:w="593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газонаполнительная компрессорная станция (далее - АГНКС) согласно Федеральному закону от 21 июля 1997 г. № 116-ФЗ «О промышленной безопасности опасных производственных объектов» (с изменениями), является объектов III-го класса опасности. Уров</w:t>
            </w:r>
            <w:r>
              <w:rPr>
                <w:color w:val="000000"/>
                <w:sz w:val="24"/>
                <w:szCs w:val="24"/>
              </w:rPr>
              <w:t>ень ответственности объекта капитального строительства - нормальный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строительства</w:t>
            </w:r>
          </w:p>
        </w:tc>
        <w:tc>
          <w:tcPr>
            <w:tcW w:w="593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Инвестиционная программа.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Правительства Санкт-Петербурга от 22.12.2015 №1176 «О предоставлении земельного участка для строительства объекта тр</w:t>
            </w:r>
            <w:r>
              <w:rPr>
                <w:color w:val="000000"/>
                <w:sz w:val="24"/>
                <w:szCs w:val="24"/>
              </w:rPr>
              <w:t>анспорта (автозаправочные и газонаполнительные станции) по адресу.</w:t>
            </w:r>
          </w:p>
          <w:p w:rsidR="00970C07" w:rsidRDefault="0097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firstLine="36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 СТУ</w:t>
            </w:r>
          </w:p>
        </w:tc>
        <w:tc>
          <w:tcPr>
            <w:tcW w:w="5935" w:type="dxa"/>
          </w:tcPr>
          <w:p w:rsidR="00970C07" w:rsidRDefault="0097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2"/>
              <w:rPr>
                <w:color w:val="000000"/>
                <w:sz w:val="24"/>
                <w:szCs w:val="24"/>
              </w:rPr>
            </w:pP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Заказчике СТУ</w:t>
            </w:r>
          </w:p>
        </w:tc>
        <w:tc>
          <w:tcPr>
            <w:tcW w:w="593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 местонахождения: </w:t>
            </w:r>
          </w:p>
          <w:p w:rsidR="00970C07" w:rsidRDefault="0097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 СТУ</w:t>
            </w:r>
          </w:p>
        </w:tc>
        <w:tc>
          <w:tcPr>
            <w:tcW w:w="593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результатам проведения конкурсных процедур</w:t>
            </w: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проведения работ</w:t>
            </w:r>
          </w:p>
        </w:tc>
        <w:tc>
          <w:tcPr>
            <w:tcW w:w="593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</w:t>
            </w:r>
            <w:hyperlink r:id="rId7">
              <w:r>
                <w:rPr>
                  <w:color w:val="000000"/>
                  <w:sz w:val="24"/>
                  <w:szCs w:val="24"/>
                </w:rPr>
                <w:t>частью 8 статьи 6</w:t>
              </w:r>
            </w:hyperlink>
            <w:r>
              <w:rPr>
                <w:color w:val="000000"/>
                <w:sz w:val="24"/>
                <w:szCs w:val="24"/>
              </w:rPr>
      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 (далее - Технический регламент): «В случае, если для под</w:t>
            </w:r>
            <w:r>
              <w:rPr>
                <w:color w:val="000000"/>
                <w:sz w:val="24"/>
                <w:szCs w:val="24"/>
              </w:rPr>
              <w:t xml:space="preserve">готовки проектной документации требуется отступление от требований, установленных включенными в указанный в </w:t>
            </w:r>
            <w:hyperlink w:anchor="2et92p0">
              <w:r>
                <w:rPr>
                  <w:color w:val="000000"/>
                  <w:sz w:val="24"/>
                  <w:szCs w:val="24"/>
                </w:rPr>
                <w:t>части 1</w:t>
              </w:r>
            </w:hyperlink>
            <w:r>
              <w:rPr>
                <w:color w:val="000000"/>
                <w:sz w:val="24"/>
                <w:szCs w:val="24"/>
              </w:rPr>
              <w:t xml:space="preserve"> настоящей статьи перечень национальными стандартами и сводами правил, недостаточно требований к надежности и б</w:t>
            </w:r>
            <w:r>
              <w:rPr>
                <w:color w:val="000000"/>
                <w:sz w:val="24"/>
                <w:szCs w:val="24"/>
              </w:rPr>
              <w:t>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</w:t>
            </w:r>
            <w:r>
              <w:rPr>
                <w:color w:val="000000"/>
                <w:sz w:val="24"/>
                <w:szCs w:val="24"/>
              </w:rPr>
              <w:t xml:space="preserve">ваемыми и согласовываемыми в </w:t>
            </w:r>
            <w:hyperlink r:id="rId8">
              <w:r>
                <w:rPr>
                  <w:color w:val="000000"/>
                  <w:sz w:val="24"/>
                  <w:szCs w:val="24"/>
                </w:rPr>
                <w:t>порядке</w:t>
              </w:r>
            </w:hyperlink>
            <w:r>
              <w:rPr>
                <w:color w:val="000000"/>
                <w:sz w:val="24"/>
                <w:szCs w:val="24"/>
              </w:rPr>
              <w:t xml:space="preserve">, установленном уполномоченным федеральным органом исполнительной власти. 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соответствии с гл. I п.5 «Положения о составе разделов проектной документации и требований к их содержанию», утв</w:t>
            </w:r>
            <w:r>
              <w:rPr>
                <w:color w:val="000000"/>
                <w:sz w:val="24"/>
                <w:szCs w:val="24"/>
              </w:rPr>
              <w:t>ерждённого постановлением Правительства РФ от 16.02.2008 № 87 (ред. От 27.10.2015)  «О составе разделов проектной документации и требованиях к их содержанию» в случае если для разработки проектной документации на объектах капитального строительства недоста</w:t>
            </w:r>
            <w:r>
              <w:rPr>
                <w:color w:val="000000"/>
                <w:sz w:val="24"/>
                <w:szCs w:val="24"/>
              </w:rPr>
              <w:t>точно требований по надёжности и безопасности, установленных нормативными техническими документации должны предшествовать разработка и утверждений в установленном порядке специальных технических требований. </w:t>
            </w: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СТУ</w:t>
            </w:r>
          </w:p>
        </w:tc>
        <w:tc>
          <w:tcPr>
            <w:tcW w:w="593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5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Специальные технические условия по обеспечению пожарной безопасности объекта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Исходные данные,  предоставляемые Заказчиком</w:t>
            </w:r>
          </w:p>
        </w:tc>
        <w:tc>
          <w:tcPr>
            <w:tcW w:w="5935" w:type="dxa"/>
          </w:tcPr>
          <w:p w:rsidR="00970C07" w:rsidRDefault="00277EF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пояснительная записка (наименование и месторасположение объекта, описание объекта в целом и его важнейших элементов с изложением объемно-планировочных и конструктивных решений) - передается при подписании договора.</w:t>
            </w:r>
          </w:p>
          <w:p w:rsidR="00970C07" w:rsidRDefault="00277EF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Предварительная схема планировочной</w:t>
            </w:r>
            <w:r>
              <w:rPr>
                <w:color w:val="000000"/>
                <w:sz w:val="24"/>
                <w:szCs w:val="24"/>
              </w:rPr>
              <w:t xml:space="preserve"> организации земельного участка (далее - СПОЗУ) - передается при подписании договора.</w:t>
            </w: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 разработки СТУ</w:t>
            </w:r>
          </w:p>
        </w:tc>
        <w:tc>
          <w:tcPr>
            <w:tcW w:w="593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 разработки СТУ обусловлена отсутствием нормативных требований пожарной безопасности по расстоянию от зданий, сооружений и оборудования технологических систем АГНКС, размещенной на территории населенного пункта, до производственных и складских</w:t>
            </w:r>
            <w:r>
              <w:rPr>
                <w:color w:val="000000"/>
                <w:sz w:val="24"/>
                <w:szCs w:val="24"/>
              </w:rPr>
              <w:t xml:space="preserve"> зданий и сооружений промышленных предприятий, административно-бытовых зданий и сооружений промышленных предприятий, а также до зданий и сооружений классов функциональной пожарной опасности Ф1-4, не относящихся к АГНКС (п.8.3, таблица 5 СП 156.13130.2014).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Кроме того, необходимость разработки СТУ обусловлена отступлениями от действующих нормативных документов: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расстояние от оборудования технологических систем АГНКС до технологического оборудования категории АН соседних АЗС менее 100 метров (п.8.3, п. 9 та</w:t>
            </w:r>
            <w:r>
              <w:rPr>
                <w:color w:val="000000"/>
                <w:sz w:val="24"/>
                <w:szCs w:val="24"/>
              </w:rPr>
              <w:t>блицы 5 СП 156.13130.2014).</w:t>
            </w: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оформления СТУ</w:t>
            </w:r>
          </w:p>
        </w:tc>
        <w:tc>
          <w:tcPr>
            <w:tcW w:w="5935" w:type="dxa"/>
          </w:tcPr>
          <w:p w:rsidR="00970C07" w:rsidRDefault="00277E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15 апреля 2016 г. № 248/пр «О порядке разработки и согласования специальных технических условий для разработки проектной документации на объект капитального строите</w:t>
            </w:r>
            <w:r>
              <w:rPr>
                <w:color w:val="000000"/>
                <w:sz w:val="24"/>
                <w:szCs w:val="24"/>
              </w:rPr>
              <w:t>льства».</w:t>
            </w: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Разрабатываемая документация</w:t>
            </w:r>
          </w:p>
        </w:tc>
        <w:tc>
          <w:tcPr>
            <w:tcW w:w="5935" w:type="dxa"/>
          </w:tcPr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СТУ должны содержаться:</w:t>
            </w:r>
          </w:p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детальное обоснование необходимости разработки СТУ и недостающие нормативные требования для конкретного объекта капитального строительства, излагаемые в соответствии со </w:t>
            </w:r>
            <w:r>
              <w:rPr>
                <w:color w:val="000000"/>
                <w:sz w:val="24"/>
                <w:szCs w:val="24"/>
              </w:rPr>
              <w:lastRenderedPageBreak/>
              <w:t>структурой сводов правил в соответствующей сфере деятельности;</w:t>
            </w:r>
          </w:p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перечень вынужденн</w:t>
            </w:r>
            <w:r>
              <w:rPr>
                <w:color w:val="000000"/>
                <w:sz w:val="24"/>
                <w:szCs w:val="24"/>
              </w:rPr>
              <w:t>ых отступлений от требований, установленных национальными стандартами и сводами правил, содержащий мероприятия, компенсирующие эти отступления;</w:t>
            </w:r>
          </w:p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основание для строительства (правоустанавливающие документы на земельный участок);</w:t>
            </w:r>
          </w:p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данные, включающие наим</w:t>
            </w:r>
            <w:r>
              <w:rPr>
                <w:color w:val="000000"/>
                <w:sz w:val="24"/>
                <w:szCs w:val="24"/>
              </w:rPr>
              <w:t>енование и место расположения объекта капитального строительства (адрес объекта капитального строительства, кадастровый номер земельного участка);</w:t>
            </w:r>
          </w:p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сведения о заинтересованных лицах, проектной организации и (или) разработчике СТУ;</w:t>
            </w:r>
          </w:p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описание объекта кап</w:t>
            </w:r>
            <w:r>
              <w:rPr>
                <w:color w:val="000000"/>
                <w:sz w:val="24"/>
                <w:szCs w:val="24"/>
              </w:rPr>
              <w:t>итального строительства в целом и его важнейших элементов с изложением объемно-планировочных и конструктивных решений с приложением схемы организации земельного участка и чертежей архитектурно-планировочных решений.</w:t>
            </w:r>
          </w:p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наличия отступлений от требован</w:t>
            </w:r>
            <w:r>
              <w:rPr>
                <w:color w:val="000000"/>
                <w:sz w:val="24"/>
                <w:szCs w:val="24"/>
              </w:rPr>
              <w:t xml:space="preserve">ий обязательного применения, установленных национальными стандартами и сводами правил, в состав СТУ должны быть включены положения, компенсирующие эти отступления, при обосновании одним или несколькими способами в соответствии с </w:t>
            </w:r>
            <w:hyperlink r:id="rId9">
              <w:r>
                <w:rPr>
                  <w:color w:val="000000"/>
                  <w:sz w:val="24"/>
                  <w:szCs w:val="24"/>
                </w:rPr>
                <w:t>пунктом 6 статьи 15</w:t>
              </w:r>
            </w:hyperlink>
            <w:r>
              <w:rPr>
                <w:color w:val="000000"/>
                <w:sz w:val="24"/>
                <w:szCs w:val="24"/>
              </w:rPr>
              <w:t xml:space="preserve"> Технического регламента.</w:t>
            </w:r>
          </w:p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Аналогично должны быть обоснованы дополнительные требования по сравнению с обязательными требованиями, установленными национальными стандартами и сводами правил.</w:t>
            </w: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инстанций, согласующих СТУ</w:t>
            </w:r>
          </w:p>
        </w:tc>
        <w:tc>
          <w:tcPr>
            <w:tcW w:w="5935" w:type="dxa"/>
          </w:tcPr>
          <w:p w:rsidR="00970C07" w:rsidRDefault="00970C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5" w:hanging="283"/>
              <w:rPr>
                <w:color w:val="000000"/>
                <w:sz w:val="24"/>
                <w:szCs w:val="24"/>
              </w:rPr>
            </w:pP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согласования специальных технических условий</w:t>
            </w:r>
          </w:p>
        </w:tc>
        <w:tc>
          <w:tcPr>
            <w:tcW w:w="5935" w:type="dxa"/>
          </w:tcPr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согласования проекта СТУ Подрядчик направляет в Министерство строительства и жилищно-коммунального хозяйства Российской Федерации (далее - Министерство) следующие документы и материалы (далее - документа</w:t>
            </w:r>
            <w:bookmarkStart w:id="2" w:name="30j0zll" w:colFirst="0" w:colLast="0"/>
            <w:bookmarkEnd w:id="2"/>
            <w:r>
              <w:rPr>
                <w:color w:val="000000"/>
                <w:sz w:val="24"/>
                <w:szCs w:val="24"/>
              </w:rPr>
              <w:t>ция):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сведения о Заказчике (наименование орга</w:t>
            </w:r>
            <w:r>
              <w:rPr>
                <w:color w:val="000000"/>
                <w:sz w:val="24"/>
                <w:szCs w:val="24"/>
              </w:rPr>
              <w:t>низации; организационно-правовая форма; место нахождения; контактный телефон; индивидуальный номер налогоплательщика; фамилия, имя, отчество (последнее - при наличии) руководителя организации);</w:t>
            </w:r>
          </w:p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сведения об организации разработчике проекта СТУ (наименова</w:t>
            </w:r>
            <w:r>
              <w:rPr>
                <w:color w:val="000000"/>
                <w:sz w:val="24"/>
                <w:szCs w:val="24"/>
              </w:rPr>
              <w:t>ние организации; организационно-правовая форма; место нахождения; контактный телефон; индивидуальный номер налогоплательщика; фамилия, имя, отчество (последнее - при наличии) руководителя организации);</w:t>
            </w:r>
          </w:p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проект СТУ в двух оригинальных экземплярах, завизир</w:t>
            </w:r>
            <w:r>
              <w:rPr>
                <w:color w:val="000000"/>
                <w:sz w:val="24"/>
                <w:szCs w:val="24"/>
              </w:rPr>
              <w:t xml:space="preserve">ованный разработчиком (на титульном листе). Каждый экземпляр проекта СТУ должен быть прошит, </w:t>
            </w:r>
            <w:r>
              <w:rPr>
                <w:color w:val="000000"/>
                <w:sz w:val="24"/>
                <w:szCs w:val="24"/>
              </w:rPr>
              <w:lastRenderedPageBreak/>
              <w:t>пронумерован и заверен печатью (при наличии) и подписью руководителя организации разработчика;</w:t>
            </w:r>
          </w:p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пояснительную записку к проекту СТУ, завизированную Заказчиком, с</w:t>
            </w:r>
            <w:r>
              <w:rPr>
                <w:color w:val="000000"/>
                <w:sz w:val="24"/>
                <w:szCs w:val="24"/>
              </w:rPr>
              <w:t>одержащую информацию о необходимости разработки СТУ, принятых технических решениях, компенсирующих мероприятиях (в случае принятия решений об отступлении от действующих технических норм), описание нормативных положений, содержащих новые технические требова</w:t>
            </w:r>
            <w:r>
              <w:rPr>
                <w:color w:val="000000"/>
                <w:sz w:val="24"/>
                <w:szCs w:val="24"/>
              </w:rPr>
              <w:t>ния (в случае разработки новых требований), информацию об обеспечении безопасности объекта капитального стро</w:t>
            </w:r>
            <w:bookmarkStart w:id="3" w:name="1fob9te" w:colFirst="0" w:colLast="0"/>
            <w:bookmarkEnd w:id="3"/>
            <w:r>
              <w:rPr>
                <w:color w:val="000000"/>
                <w:sz w:val="24"/>
                <w:szCs w:val="24"/>
              </w:rPr>
              <w:t>ительства.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копию технического задания на разработку проекта СТУ, заверенного печатью (при наличии) и подписью Заказчика;</w:t>
            </w:r>
          </w:p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е) сканированные копии </w:t>
            </w:r>
            <w:r>
              <w:rPr>
                <w:color w:val="000000"/>
                <w:sz w:val="24"/>
                <w:szCs w:val="24"/>
              </w:rPr>
              <w:t xml:space="preserve">документации, указанной в </w:t>
            </w:r>
            <w:hyperlink w:anchor="30j0zll">
              <w:r>
                <w:rPr>
                  <w:color w:val="000000"/>
                  <w:sz w:val="24"/>
                  <w:szCs w:val="24"/>
                </w:rPr>
                <w:t>подпунктах "а</w:t>
              </w:r>
            </w:hyperlink>
            <w:r>
              <w:rPr>
                <w:color w:val="000000"/>
                <w:sz w:val="24"/>
                <w:szCs w:val="24"/>
              </w:rPr>
              <w:t xml:space="preserve"> - </w:t>
            </w:r>
            <w:hyperlink w:anchor="1fob9te">
              <w:r>
                <w:rPr>
                  <w:color w:val="000000"/>
                  <w:sz w:val="24"/>
                  <w:szCs w:val="24"/>
                </w:rPr>
                <w:t>д"</w:t>
              </w:r>
            </w:hyperlink>
            <w:r>
              <w:rPr>
                <w:color w:val="000000"/>
                <w:sz w:val="24"/>
                <w:szCs w:val="24"/>
              </w:rPr>
              <w:t xml:space="preserve"> настоящего пункта, на электронном носи</w:t>
            </w:r>
            <w:bookmarkStart w:id="4" w:name="3znysh7" w:colFirst="0" w:colLast="0"/>
            <w:bookmarkEnd w:id="4"/>
            <w:r>
              <w:rPr>
                <w:color w:val="000000"/>
                <w:sz w:val="24"/>
                <w:szCs w:val="24"/>
              </w:rPr>
              <w:t>теле.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70C07" w:rsidRDefault="0027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согласования СТУ, содержащих технические требования, в результате применения которых обеспечивается со</w:t>
            </w:r>
            <w:r>
              <w:rPr>
                <w:color w:val="000000"/>
                <w:sz w:val="24"/>
                <w:szCs w:val="24"/>
              </w:rPr>
              <w:t xml:space="preserve">блюдение требований Регламента, Подрядчик письменно направляет в Министерство документацию, указанную в пункте 14 Приказа Министерства строительства и жилищно-коммунального хозяйства Российской Федерации от 15 апреля 2016 г. № 248/пр «О порядке разработки </w:t>
            </w:r>
            <w:r>
              <w:rPr>
                <w:color w:val="000000"/>
                <w:sz w:val="24"/>
                <w:szCs w:val="24"/>
              </w:rPr>
              <w:t>и согласования специальных технических условий для разработки проектной документации на объект капитального строительства», с приложением документа по согласованию СТУ с МЧС России, оформленного в соответствии с законодательством Российской Федерации.</w:t>
            </w: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законодательных документов, требованиям которых должен соответствовать объект и документация на него в обязательном порядке, в том числе в части обеспечения пожарной безопасности</w:t>
            </w:r>
          </w:p>
        </w:tc>
        <w:tc>
          <w:tcPr>
            <w:tcW w:w="593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 w:firstLine="3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«Градостроительный кодекс Российской Федерации» от 29.12.2004  №190-</w:t>
            </w:r>
            <w:r>
              <w:rPr>
                <w:color w:val="000000"/>
                <w:sz w:val="24"/>
                <w:szCs w:val="24"/>
              </w:rPr>
              <w:t>ФЗ (ред. от 03.07.2016) (с изм. и доп., вступ. в силу с 01.09.2016).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закон от 21.12.1994 № 69-ФЗ (ред. от 23.06.2016) «О пожарной безопасности».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Федеральный закон от 22.07.2008 № 123-ФЗ (ред. от 03.07.2016) «Технический регламент о требованиях</w:t>
            </w:r>
            <w:r>
              <w:rPr>
                <w:color w:val="000000"/>
                <w:sz w:val="24"/>
                <w:szCs w:val="24"/>
              </w:rPr>
              <w:t xml:space="preserve"> пожарной безопасности».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закон от 30.12.2009 № 384-ФЗ (ред. от 02.07.2013) «Технический регламент о безопасности зданий и сооружений»</w:t>
            </w: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нормативных исходных документов для работы над СТУ</w:t>
            </w:r>
          </w:p>
        </w:tc>
        <w:tc>
          <w:tcPr>
            <w:tcW w:w="593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  <w:tab w:val="left" w:pos="1134"/>
              </w:tabs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Правительства РФ от 16.02.2008 № 87 (ред. от 23.01.2016) «О составе разделов проектной документации и требованиях к их содержанию».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 2.13130.2012. Системы противопожарной защиты. Обеспечение огнестойкости объектов защиты.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 3.13130.2009. Системы противопожарной защиты. Система оповещения и управления эвакуацией людей при пожаре. Требования пожарной безопасности.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 4.13130.2013. Системы противопожарной защиты. Ограничение распространения пожара на объектах защиты. Требован</w:t>
            </w:r>
            <w:r>
              <w:rPr>
                <w:color w:val="000000"/>
                <w:sz w:val="24"/>
                <w:szCs w:val="24"/>
              </w:rPr>
              <w:t>ия к объемно-планировочным и конструктивным решениям.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 5.13130.2009. Системы противопожарной защиты. Установки пожарной сигнализации и пожаротушения автоматические. Нормы и правила проектирования.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 6.13130.2013. Системы противопожарной защиты. Электроо</w:t>
            </w:r>
            <w:r>
              <w:rPr>
                <w:color w:val="000000"/>
                <w:sz w:val="24"/>
                <w:szCs w:val="24"/>
              </w:rPr>
              <w:t>борудование. Требования пожарной безопасности.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 8.13130.2009. Системы противопожарной защиты. Источники наружного противопожарного водоснабжения. Требования пожарной безопасности.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 12.13130.2009. Определение категорий помещений, зданий и наружных устан</w:t>
            </w:r>
            <w:r>
              <w:rPr>
                <w:color w:val="000000"/>
                <w:sz w:val="24"/>
                <w:szCs w:val="24"/>
              </w:rPr>
              <w:t>овок по взрывопожарной и пожарной опасности.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 156.13130.2014. Станции автомобильные автозаправочные. Требования пожарной безопасности.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5542-87. Газы горючие природные для промышленного и коммунально-бытового назначения. Технические условия.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275</w:t>
            </w:r>
            <w:r>
              <w:rPr>
                <w:color w:val="000000"/>
                <w:sz w:val="24"/>
                <w:szCs w:val="24"/>
              </w:rPr>
              <w:t>77-2000. Газ природный топливный компримированный для двигателей внутреннего сгорания. Технические условия.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firstLine="3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ПУЭ. Правила устройства электроустановок</w:t>
            </w:r>
          </w:p>
        </w:tc>
      </w:tr>
      <w:tr w:rsidR="00970C07">
        <w:trPr>
          <w:jc w:val="center"/>
        </w:trPr>
        <w:tc>
          <w:tcPr>
            <w:tcW w:w="567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4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Разработанные СТУ передаются Заказчику в следующем порядке</w:t>
            </w:r>
          </w:p>
        </w:tc>
        <w:tc>
          <w:tcPr>
            <w:tcW w:w="5935" w:type="dxa"/>
          </w:tcPr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согласования СТУ с ГУП «ТЭК СПб» и МЧС России: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Исполнитель получает СТУ, согласованные с МЧС России, и передает Заказчику электронную версия по электронной почте.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согласования СТУ с Минстроем России:</w:t>
            </w:r>
          </w:p>
          <w:p w:rsidR="00970C07" w:rsidRDefault="0027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 получает СТУ, согласованные с Ми</w:t>
            </w:r>
            <w:r>
              <w:rPr>
                <w:color w:val="000000"/>
                <w:sz w:val="24"/>
                <w:szCs w:val="24"/>
              </w:rPr>
              <w:t>нстроем России, и передает Заказчику бумажную версию СТУ в количестве 1 (одного) экземпляра (оригинал СТУ).</w:t>
            </w:r>
          </w:p>
        </w:tc>
      </w:tr>
    </w:tbl>
    <w:p w:rsidR="00970C07" w:rsidRDefault="00970C0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:rsidR="00970C07" w:rsidRDefault="00970C0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:rsidR="00970C07" w:rsidRDefault="00970C0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sectPr w:rsidR="00970C07">
      <w:headerReference w:type="default" r:id="rId10"/>
      <w:footerReference w:type="default" r:id="rId11"/>
      <w:pgSz w:w="11906" w:h="16838"/>
      <w:pgMar w:top="851" w:right="849" w:bottom="851" w:left="1418" w:header="709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F1" w:rsidRDefault="00277EF1">
      <w:r>
        <w:separator/>
      </w:r>
    </w:p>
  </w:endnote>
  <w:endnote w:type="continuationSeparator" w:id="0">
    <w:p w:rsidR="00277EF1" w:rsidRDefault="0027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07" w:rsidRDefault="00970C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970C07" w:rsidRDefault="00970C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Arial Narrow" w:eastAsia="Arial Narrow" w:hAnsi="Arial Narrow" w:cs="Arial Narrow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F1" w:rsidRDefault="00277EF1">
      <w:r>
        <w:separator/>
      </w:r>
    </w:p>
  </w:footnote>
  <w:footnote w:type="continuationSeparator" w:id="0">
    <w:p w:rsidR="00277EF1" w:rsidRDefault="0027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07" w:rsidRDefault="00970C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970C07" w:rsidRDefault="00970C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7EC"/>
    <w:multiLevelType w:val="multilevel"/>
    <w:tmpl w:val="90EC1C8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AB18E0"/>
    <w:multiLevelType w:val="multilevel"/>
    <w:tmpl w:val="04CAFE72"/>
    <w:lvl w:ilvl="0">
      <w:start w:val="1"/>
      <w:numFmt w:val="decimal"/>
      <w:lvlText w:val="%1."/>
      <w:lvlJc w:val="left"/>
      <w:pPr>
        <w:ind w:left="8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62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7"/>
    <w:rsid w:val="00277EF1"/>
    <w:rsid w:val="00970C07"/>
    <w:rsid w:val="00F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33D91-36A5-4CF0-804D-58183E98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2021-07-11T12:44:00Z</dcterms:created>
  <dcterms:modified xsi:type="dcterms:W3CDTF">2021-07-11T12:44:00Z</dcterms:modified>
</cp:coreProperties>
</file>